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F" w:rsidRPr="00D2583C" w:rsidRDefault="00B1646F" w:rsidP="00B164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bg-BG"/>
        </w:rPr>
      </w:pPr>
    </w:p>
    <w:p w:rsidR="00B1646F" w:rsidRPr="00A00E22" w:rsidRDefault="00B1646F" w:rsidP="00B164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E2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633091" w:rsidRPr="00633091" w:rsidRDefault="004E1135" w:rsidP="0063309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A00E22" w:rsidRPr="00A42E6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Съгласно </w:t>
      </w:r>
      <w:r w:rsidR="00633091" w:rsidRPr="0063309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Данъчно-осигурителен процесуален кодекс - чл. 87, ал. 11. /За целите на комплексното административно обслужване, общините предоставят информация за наличие или липса на задължения на лицата с изключение на задължения по </w:t>
      </w:r>
      <w:proofErr w:type="spellStart"/>
      <w:r w:rsidR="00633091" w:rsidRPr="0063309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невлезли</w:t>
      </w:r>
      <w:proofErr w:type="spellEnd"/>
      <w:r w:rsidR="00633091" w:rsidRPr="0063309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в сила актове, както и разсрочени, отсрочени или обезпечени задължения</w:t>
      </w:r>
    </w:p>
    <w:p w:rsidR="00C810C8" w:rsidRDefault="00C810C8" w:rsidP="00633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3091" w:rsidRPr="00633091" w:rsidRDefault="00633091" w:rsidP="00633091">
      <w:pPr>
        <w:pStyle w:val="3"/>
        <w:ind w:right="-2" w:firstLine="0"/>
        <w:jc w:val="center"/>
        <w:rPr>
          <w:b w:val="0"/>
          <w:sz w:val="20"/>
        </w:rPr>
      </w:pPr>
      <w:r w:rsidRPr="00633091">
        <w:rPr>
          <w:b w:val="0"/>
          <w:sz w:val="20"/>
        </w:rPr>
        <w:t>Служебно предоставяне на информация за наличие или липса на задължения</w:t>
      </w:r>
    </w:p>
    <w:p w:rsidR="00633091" w:rsidRPr="00633091" w:rsidRDefault="00633091" w:rsidP="00633091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0"/>
          <w:szCs w:val="20"/>
        </w:rPr>
      </w:pPr>
      <w:r w:rsidRPr="00633091">
        <w:rPr>
          <w:rFonts w:ascii="Times New Roman" w:hAnsi="Times New Roman"/>
          <w:color w:val="000000"/>
          <w:spacing w:val="6"/>
          <w:sz w:val="20"/>
          <w:szCs w:val="20"/>
        </w:rPr>
        <w:t>(</w:t>
      </w:r>
      <w:r w:rsidRPr="00633091">
        <w:rPr>
          <w:rFonts w:ascii="Times New Roman" w:hAnsi="Times New Roman"/>
          <w:i/>
          <w:color w:val="000000"/>
          <w:spacing w:val="6"/>
          <w:sz w:val="20"/>
          <w:szCs w:val="20"/>
        </w:rPr>
        <w:t>Уникален идентификатор на административната услуга - 2834</w:t>
      </w:r>
      <w:r w:rsidRPr="00633091">
        <w:rPr>
          <w:rFonts w:ascii="Times New Roman" w:hAnsi="Times New Roman"/>
          <w:color w:val="000000"/>
          <w:spacing w:val="6"/>
          <w:sz w:val="20"/>
          <w:szCs w:val="20"/>
        </w:rPr>
        <w:t>)</w:t>
      </w:r>
    </w:p>
    <w:p w:rsidR="00633091" w:rsidRDefault="00633091" w:rsidP="00D2583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646F" w:rsidRPr="005D34C2" w:rsidRDefault="00B1646F" w:rsidP="00D2583C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/</w:t>
      </w:r>
      <w:r w:rsidRPr="005D34C2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A00E22" w:rsidRPr="005D34C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D34C2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5D34C2">
        <w:rPr>
          <w:rFonts w:ascii="Times New Roman" w:hAnsi="Times New Roman" w:cs="Times New Roman"/>
          <w:sz w:val="20"/>
          <w:szCs w:val="20"/>
        </w:rPr>
        <w:t>/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5D34C2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1512A8" w:rsidRDefault="001512A8" w:rsidP="00B1646F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3309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Данъчно-осигурителен процесуален кодекс - чл. 87, ал. 11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Дирекция „</w:t>
      </w:r>
      <w:r w:rsidR="00430856" w:rsidRPr="00430856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5D34C2">
        <w:rPr>
          <w:rFonts w:ascii="Times New Roman" w:hAnsi="Times New Roman" w:cs="Times New Roman"/>
          <w:sz w:val="20"/>
          <w:szCs w:val="20"/>
        </w:rPr>
        <w:t>“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5D34C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5D34C2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5D34C2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5D34C2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B1646F" w:rsidRPr="005D34C2" w:rsidRDefault="00B1646F" w:rsidP="00B164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B1646F" w:rsidRPr="005D34C2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B1646F" w:rsidRPr="005D34C2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5D34C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800F2" w:rsidRPr="005D34C2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1646F" w:rsidRPr="005D34C2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Подаване на</w:t>
      </w:r>
      <w:r w:rsidR="0054117D" w:rsidRPr="005D34C2">
        <w:rPr>
          <w:rFonts w:ascii="Times New Roman" w:hAnsi="Times New Roman" w:cs="Times New Roman"/>
          <w:sz w:val="20"/>
          <w:szCs w:val="20"/>
        </w:rPr>
        <w:t xml:space="preserve"> </w:t>
      </w:r>
      <w:r w:rsidRPr="005D34C2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5D34C2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5D34C2">
        <w:rPr>
          <w:rFonts w:ascii="Times New Roman" w:hAnsi="Times New Roman" w:cs="Times New Roman"/>
          <w:bCs/>
          <w:sz w:val="20"/>
          <w:szCs w:val="20"/>
        </w:rPr>
        <w:t xml:space="preserve">Звеното 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„</w:t>
      </w:r>
      <w:r w:rsidRPr="005D34C2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5D34C2" w:rsidRDefault="00B1646F" w:rsidP="00B164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5D34C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5D34C2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B1646F" w:rsidRPr="005D34C2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B1646F" w:rsidRPr="005D34C2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5D34C2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5D34C2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www.grad-rila.bg</w:t>
        </w:r>
      </w:hyperlink>
      <w:r w:rsidRPr="005D34C2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5D34C2">
        <w:rPr>
          <w:rFonts w:ascii="Times New Roman" w:hAnsi="Times New Roman" w:cs="Times New Roman"/>
          <w:bCs/>
          <w:sz w:val="20"/>
          <w:szCs w:val="20"/>
        </w:rPr>
        <w:t xml:space="preserve">Звено 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„</w:t>
      </w:r>
      <w:r w:rsidRPr="005D34C2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5D34C2" w:rsidRDefault="00B1646F" w:rsidP="00B164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B1646F" w:rsidRPr="005D34C2" w:rsidRDefault="00B1646F" w:rsidP="00B164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lastRenderedPageBreak/>
        <w:t>Лично или чрез упълномощено лице, с нотариално заверено пълномощно</w:t>
      </w:r>
      <w:r w:rsidRPr="005D34C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5D34C2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B1646F" w:rsidRPr="005D34C2" w:rsidRDefault="00B1646F" w:rsidP="00B1646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D34C2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B1646F" w:rsidRPr="005D34C2" w:rsidRDefault="00B1646F" w:rsidP="00B1646F">
      <w:pPr>
        <w:spacing w:after="160"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B1646F" w:rsidRPr="005D34C2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B1646F" w:rsidRPr="005D34C2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D455EE" w:rsidRPr="005D34C2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C96468" w:rsidRPr="00C96468" w:rsidRDefault="00C96468" w:rsidP="00C96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C9646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 промяна в обстоятелствата</w:t>
      </w:r>
    </w:p>
    <w:p w:rsidR="00C96468" w:rsidRDefault="00C96468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55EE" w:rsidRPr="00A665E9" w:rsidRDefault="00D455EE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5E9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A665E9" w:rsidRPr="00A665E9" w:rsidRDefault="00633091" w:rsidP="00A42E68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За услугата не се заплаща такса</w:t>
      </w:r>
    </w:p>
    <w:p w:rsidR="00643BCC" w:rsidRDefault="00643BCC" w:rsidP="00643BCC">
      <w:pPr>
        <w:spacing w:after="160" w:line="254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8533AA" w:rsidRPr="00643BCC" w:rsidRDefault="00643BCC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43BCC">
        <w:rPr>
          <w:rFonts w:ascii="Times New Roman" w:hAnsi="Times New Roman" w:cs="Times New Roman"/>
          <w:bCs/>
          <w:sz w:val="20"/>
          <w:szCs w:val="20"/>
        </w:rPr>
        <w:t>7 дни</w:t>
      </w:r>
      <w:r w:rsidR="00B1646F" w:rsidRPr="00643BCC">
        <w:rPr>
          <w:rFonts w:ascii="Times New Roman" w:hAnsi="Times New Roman" w:cs="Times New Roman"/>
          <w:bCs/>
          <w:sz w:val="20"/>
          <w:szCs w:val="20"/>
        </w:rPr>
        <w:tab/>
      </w:r>
    </w:p>
    <w:p w:rsidR="00B1646F" w:rsidRPr="008533AA" w:rsidRDefault="00B1646F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B1646F" w:rsidRPr="00D61481" w:rsidRDefault="00F800F2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B1646F" w:rsidRPr="00D61481" w:rsidRDefault="00B1646F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5D34C2" w:rsidRPr="00A665E9" w:rsidRDefault="00B1646F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="00A665E9">
        <w:rPr>
          <w:rFonts w:ascii="Times New Roman" w:hAnsi="Times New Roman" w:cs="Times New Roman"/>
          <w:sz w:val="20"/>
          <w:szCs w:val="20"/>
        </w:rPr>
        <w:t>ДОПК</w:t>
      </w:r>
    </w:p>
    <w:sectPr w:rsidR="005D34C2" w:rsidRPr="00A6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DB"/>
    <w:rsid w:val="000C5996"/>
    <w:rsid w:val="00105DB6"/>
    <w:rsid w:val="001512A8"/>
    <w:rsid w:val="003A13DB"/>
    <w:rsid w:val="00430856"/>
    <w:rsid w:val="0046326F"/>
    <w:rsid w:val="004E1135"/>
    <w:rsid w:val="0054117D"/>
    <w:rsid w:val="005D34C2"/>
    <w:rsid w:val="00633091"/>
    <w:rsid w:val="006359C0"/>
    <w:rsid w:val="00643BCC"/>
    <w:rsid w:val="006E6E7C"/>
    <w:rsid w:val="00743D2F"/>
    <w:rsid w:val="008533AA"/>
    <w:rsid w:val="0092571F"/>
    <w:rsid w:val="00975332"/>
    <w:rsid w:val="0098107E"/>
    <w:rsid w:val="00A00E22"/>
    <w:rsid w:val="00A42E68"/>
    <w:rsid w:val="00A665E9"/>
    <w:rsid w:val="00B1646F"/>
    <w:rsid w:val="00C810C8"/>
    <w:rsid w:val="00C96468"/>
    <w:rsid w:val="00D2583C"/>
    <w:rsid w:val="00D455EE"/>
    <w:rsid w:val="00D61481"/>
    <w:rsid w:val="00D85CE0"/>
    <w:rsid w:val="00F800F2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0D-EDFD-4F08-8243-B54B4CD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F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33091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DB6"/>
    <w:rPr>
      <w:color w:val="0000FF"/>
      <w:u w:val="single"/>
    </w:rPr>
  </w:style>
  <w:style w:type="character" w:customStyle="1" w:styleId="30">
    <w:name w:val="Заглавие 3 Знак"/>
    <w:basedOn w:val="a0"/>
    <w:link w:val="3"/>
    <w:semiHidden/>
    <w:rsid w:val="0063309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31</cp:revision>
  <dcterms:created xsi:type="dcterms:W3CDTF">2021-12-06T07:51:00Z</dcterms:created>
  <dcterms:modified xsi:type="dcterms:W3CDTF">2024-03-13T15:24:00Z</dcterms:modified>
</cp:coreProperties>
</file>